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70D" w:rsidRPr="00992434" w:rsidRDefault="002204AF" w:rsidP="006E2643">
      <w:pPr>
        <w:keepLines/>
        <w:overflowPunct/>
        <w:jc w:val="center"/>
        <w:textAlignment w:val="auto"/>
        <w:rPr>
          <w:rFonts w:asciiTheme="majorHAnsi" w:hAnsiTheme="majorHAnsi" w:cs="MS Shell Dlg 2"/>
          <w:b/>
          <w:spacing w:val="100"/>
          <w:sz w:val="17"/>
          <w:szCs w:val="17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</w:pPr>
      <w:r w:rsidRPr="00992434">
        <w:rPr>
          <w:rFonts w:asciiTheme="majorHAnsi" w:hAnsiTheme="majorHAnsi" w:cs="Calibri"/>
          <w:b/>
          <w:color w:val="800000"/>
          <w:spacing w:val="100"/>
          <w:sz w:val="36"/>
          <w:szCs w:val="36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  <w:t>T</w:t>
      </w:r>
      <w:r w:rsidR="00A34CA3" w:rsidRPr="00992434">
        <w:rPr>
          <w:rFonts w:asciiTheme="majorHAnsi" w:hAnsiTheme="majorHAnsi" w:cs="Calibri"/>
          <w:b/>
          <w:color w:val="800000"/>
          <w:spacing w:val="100"/>
          <w:sz w:val="36"/>
          <w:szCs w:val="36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  <w:t>he Novel</w:t>
      </w:r>
      <w:r w:rsidR="00957131" w:rsidRPr="00992434">
        <w:rPr>
          <w:rFonts w:asciiTheme="majorHAnsi" w:hAnsiTheme="majorHAnsi" w:cs="Calibri"/>
          <w:b/>
          <w:color w:val="800000"/>
          <w:spacing w:val="100"/>
          <w:sz w:val="36"/>
          <w:szCs w:val="36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  <w14:ligatures w14:val="standardContextual"/>
          <w14:numForm w14:val="oldStyle"/>
        </w:rPr>
        <w:t>: Some Elements</w:t>
      </w:r>
    </w:p>
    <w:p w:rsidR="009F6B2F" w:rsidRPr="000D2186" w:rsidRDefault="009F6B2F" w:rsidP="00A60F2D">
      <w:pPr>
        <w:keepLines/>
        <w:tabs>
          <w:tab w:val="left" w:pos="6240"/>
        </w:tabs>
        <w:suppressAutoHyphens/>
        <w:rPr>
          <w:rFonts w:asciiTheme="majorHAnsi" w:hAnsiTheme="majorHAnsi"/>
          <w:b/>
          <w:color w:val="002060"/>
          <w:sz w:val="12"/>
          <w:szCs w:val="12"/>
          <w14:ligatures w14:val="standardContextual"/>
          <w14:numForm w14:val="oldStyle"/>
        </w:rPr>
      </w:pPr>
    </w:p>
    <w:p w:rsidR="001C270D" w:rsidRPr="000D2186" w:rsidRDefault="009F6B2F" w:rsidP="009F6B2F">
      <w:pPr>
        <w:pStyle w:val="Heading2"/>
        <w:rPr>
          <w:rFonts w:asciiTheme="majorHAnsi" w:hAnsiTheme="majorHAnsi"/>
          <w14:ligatures w14:val="standardContextual"/>
          <w14:numForm w14:val="oldStyle"/>
        </w:rPr>
      </w:pPr>
      <w:r w:rsidRPr="000D2186">
        <w:rPr>
          <w:rFonts w:asciiTheme="majorHAnsi" w:hAnsiTheme="majorHAnsi"/>
          <w14:ligatures w14:val="standardContextual"/>
          <w14:numForm w14:val="oldStyle"/>
        </w:rPr>
        <w:t>Elements in nearly all novels:</w:t>
      </w:r>
    </w:p>
    <w:tbl>
      <w:tblPr>
        <w:tblW w:w="0" w:type="auto"/>
        <w:tblBorders>
          <w:top w:val="dotted" w:sz="4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1728"/>
        <w:gridCol w:w="8100"/>
      </w:tblGrid>
      <w:tr w:rsidR="00D268A5" w:rsidRPr="000D2186" w:rsidTr="00992434">
        <w:trPr>
          <w:cantSplit/>
        </w:trPr>
        <w:tc>
          <w:tcPr>
            <w:tcW w:w="1728" w:type="dxa"/>
          </w:tcPr>
          <w:p w:rsidR="00D268A5" w:rsidRPr="000D2186" w:rsidRDefault="00D268A5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:b/>
                <w:color w:val="002060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:b/>
                <w:color w:val="002060"/>
                <w14:ligatures w14:val="standardContextual"/>
                <w14:numForm w14:val="oldStyle"/>
              </w:rPr>
              <w:t>CHARACTER</w:t>
            </w:r>
          </w:p>
        </w:tc>
        <w:tc>
          <w:tcPr>
            <w:tcW w:w="8100" w:type="dxa"/>
          </w:tcPr>
          <w:p w:rsidR="00D268A5" w:rsidRPr="000D2186" w:rsidRDefault="00D268A5" w:rsidP="00C932CA">
            <w:pPr>
              <w:pStyle w:val="Level2Point"/>
              <w:ind w:left="0" w:firstLine="0"/>
              <w:rPr>
                <w:lang w:val="en-GB"/>
                <w14:ligatures w14:val="standardContextual"/>
                <w14:numForm w14:val="oldStyle"/>
              </w:rPr>
            </w:pPr>
            <w:r w:rsidRPr="000D2186">
              <w:rPr>
                <w:lang w:val="en-GB"/>
                <w14:ligatures w14:val="standardContextual"/>
                <w14:numForm w14:val="oldStyle"/>
              </w:rPr>
              <w:t>direct description or commentary by the narrator</w:t>
            </w:r>
            <w:r w:rsidRPr="000D2186">
              <w:rPr>
                <w14:ligatures w14:val="standardContextual"/>
                <w14:numForm w14:val="oldStyle"/>
              </w:rPr>
              <w:t>, including ironic comment</w:t>
            </w:r>
            <w:r w:rsidRPr="000D2186">
              <w:rPr>
                <w14:ligatures w14:val="standardContextual"/>
                <w14:numForm w14:val="oldStyle"/>
              </w:rPr>
              <w:br/>
            </w:r>
            <w:r w:rsidRPr="000D2186">
              <w:rPr>
                <w:lang w:val="en-GB"/>
                <w14:ligatures w14:val="standardContextual"/>
                <w14:numForm w14:val="oldStyle"/>
              </w:rPr>
              <w:t>language: in speech and thought, in both content and form of expression</w:t>
            </w:r>
            <w:r w:rsidRPr="000D2186">
              <w:rPr>
                <w:lang w:val="en-GB"/>
                <w14:ligatures w14:val="standardContextual"/>
                <w14:numForm w14:val="oldStyle"/>
              </w:rPr>
              <w:br/>
              <w:t>action: especially as it confirms or contradicts what characters say</w:t>
            </w:r>
            <w:r w:rsidRPr="000D2186">
              <w:rPr>
                <w:lang w:val="en-GB"/>
                <w14:ligatures w14:val="standardContextual"/>
                <w14:numForm w14:val="oldStyle"/>
              </w:rPr>
              <w:br/>
              <w:t>change: growth or deterioration</w:t>
            </w:r>
            <w:r w:rsidR="000542B4" w:rsidRPr="000D2186">
              <w:rPr>
                <w:lang w:val="en-GB"/>
                <w14:ligatures w14:val="standardContextual"/>
                <w14:numForm w14:val="oldStyle"/>
              </w:rPr>
              <w:t xml:space="preserve"> †</w:t>
            </w:r>
          </w:p>
        </w:tc>
      </w:tr>
      <w:tr w:rsidR="00C932CA" w:rsidRPr="000D2186" w:rsidTr="00992434">
        <w:trPr>
          <w:cantSplit/>
        </w:trPr>
        <w:tc>
          <w:tcPr>
            <w:tcW w:w="1728" w:type="dxa"/>
          </w:tcPr>
          <w:p w:rsidR="00D268A5" w:rsidRPr="000D2186" w:rsidRDefault="00D268A5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Coincidence</w:t>
            </w:r>
          </w:p>
        </w:tc>
        <w:tc>
          <w:tcPr>
            <w:tcW w:w="8100" w:type="dxa"/>
          </w:tcPr>
          <w:p w:rsidR="00D268A5" w:rsidRPr="000D2186" w:rsidRDefault="00D268A5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Coin</w:t>
            </w:r>
            <w:bookmarkStart w:id="0" w:name="_GoBack"/>
            <w:bookmarkEnd w:id="0"/>
            <w:r w:rsidRPr="000D2186">
              <w:rPr>
                <w14:ligatures w14:val="standardContextual"/>
                <w14:numForm w14:val="oldStyle"/>
              </w:rPr>
              <w:t>cidence, which surprises us in real life with symmetries we don’t expect to find there, is all too obviously a structural device in fiction, and an excessive reliance on it can jeopardize the verisimilitude of a narrative</w:t>
            </w:r>
            <w:r w:rsidR="000542B4" w:rsidRPr="000D2186">
              <w:rPr>
                <w14:ligatures w14:val="standardContextual"/>
                <w14:numForm w14:val="oldStyle"/>
              </w:rPr>
              <w:t>. †</w:t>
            </w:r>
          </w:p>
        </w:tc>
      </w:tr>
      <w:tr w:rsidR="00D268A5" w:rsidRPr="000D2186" w:rsidTr="000542B4">
        <w:trPr>
          <w:cantSplit/>
        </w:trPr>
        <w:tc>
          <w:tcPr>
            <w:tcW w:w="1728" w:type="dxa"/>
          </w:tcPr>
          <w:p w:rsidR="00D268A5" w:rsidRPr="000D2186" w:rsidRDefault="00D268A5" w:rsidP="00D268A5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Ending</w:t>
            </w:r>
          </w:p>
        </w:tc>
        <w:tc>
          <w:tcPr>
            <w:tcW w:w="8100" w:type="dxa"/>
          </w:tcPr>
          <w:p w:rsidR="00D268A5" w:rsidRPr="000D2186" w:rsidRDefault="00D268A5" w:rsidP="00D268A5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last-minute twist is generally more typical of the short story than of the novel</w:t>
            </w:r>
            <w:r w:rsidR="000542B4" w:rsidRPr="000D2186">
              <w:rPr>
                <w14:ligatures w14:val="standardContextual"/>
                <w14:numForm w14:val="oldStyle"/>
              </w:rPr>
              <w:t> †</w:t>
            </w:r>
          </w:p>
        </w:tc>
      </w:tr>
      <w:tr w:rsidR="00D268A5" w:rsidRPr="000D2186" w:rsidTr="000542B4">
        <w:trPr>
          <w:cantSplit/>
        </w:trPr>
        <w:tc>
          <w:tcPr>
            <w:tcW w:w="1728" w:type="dxa"/>
          </w:tcPr>
          <w:p w:rsidR="00D268A5" w:rsidRPr="000D2186" w:rsidRDefault="00D268A5" w:rsidP="00D268A5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Intertextuality</w:t>
            </w:r>
          </w:p>
        </w:tc>
        <w:tc>
          <w:tcPr>
            <w:tcW w:w="8100" w:type="dxa"/>
          </w:tcPr>
          <w:p w:rsidR="00D268A5" w:rsidRPr="000D2186" w:rsidRDefault="00D268A5" w:rsidP="00D268A5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some ways a text can refer to another: parody, pastiche, echo, allusion, direct quotation, structural parallelism</w:t>
            </w:r>
            <w:r w:rsidR="000542B4" w:rsidRPr="000D2186">
              <w:rPr>
                <w14:ligatures w14:val="standardContextual"/>
                <w14:numForm w14:val="oldStyle"/>
              </w:rPr>
              <w:t> †</w:t>
            </w:r>
          </w:p>
        </w:tc>
      </w:tr>
      <w:tr w:rsidR="008B3EA2" w:rsidRPr="000D2186" w:rsidTr="000542B4">
        <w:trPr>
          <w:cantSplit/>
        </w:trPr>
        <w:tc>
          <w:tcPr>
            <w:tcW w:w="1728" w:type="dxa"/>
          </w:tcPr>
          <w:p w:rsidR="008B3EA2" w:rsidRPr="000D2186" w:rsidRDefault="008B3EA2" w:rsidP="008B3EA2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:b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:b/>
                <w14:ligatures w14:val="standardContextual"/>
                <w14:numForm w14:val="oldStyle"/>
              </w:rPr>
              <w:t>IRONY</w:t>
            </w:r>
          </w:p>
        </w:tc>
        <w:tc>
          <w:tcPr>
            <w:tcW w:w="8100" w:type="dxa"/>
          </w:tcPr>
          <w:p w:rsidR="008B3EA2" w:rsidRPr="000D2186" w:rsidRDefault="008B3EA2" w:rsidP="008B3EA2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consists of saying the opposite of what you mean, or inviting an interpretation different from the surface meaning of your words.</w:t>
            </w:r>
            <w:r w:rsidR="000542B4" w:rsidRPr="000D2186">
              <w:rPr>
                <w14:ligatures w14:val="standardContextual"/>
                <w14:numForm w14:val="oldStyle"/>
              </w:rPr>
              <w:t xml:space="preserve">  †</w:t>
            </w:r>
          </w:p>
        </w:tc>
      </w:tr>
      <w:tr w:rsidR="008B3EA2" w:rsidRPr="000D2186" w:rsidTr="000542B4">
        <w:trPr>
          <w:cantSplit/>
        </w:trPr>
        <w:tc>
          <w:tcPr>
            <w:tcW w:w="1728" w:type="dxa"/>
          </w:tcPr>
          <w:p w:rsidR="008B3EA2" w:rsidRPr="000D2186" w:rsidRDefault="008B3EA2" w:rsidP="008B3EA2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Narrative Structure</w:t>
            </w:r>
          </w:p>
        </w:tc>
        <w:tc>
          <w:tcPr>
            <w:tcW w:w="8100" w:type="dxa"/>
          </w:tcPr>
          <w:p w:rsidR="008B3EA2" w:rsidRPr="000D2186" w:rsidRDefault="008B3EA2" w:rsidP="008B3EA2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you can’t see it, but it determines the edifice’s shape and character</w:t>
            </w:r>
            <w:r w:rsidR="000542B4" w:rsidRPr="000D2186">
              <w:rPr>
                <w14:ligatures w14:val="standardContextual"/>
                <w14:numForm w14:val="oldStyle"/>
              </w:rPr>
              <w:t> †</w:t>
            </w:r>
            <w:r w:rsidR="009F6B2F" w:rsidRPr="000D2186">
              <w:rPr>
                <w14:ligatures w14:val="standardContextual"/>
                <w14:numForm w14:val="oldStyle"/>
              </w:rPr>
              <w:br/>
              <w:t>the arrangement of the parts of the material</w:t>
            </w:r>
          </w:p>
        </w:tc>
      </w:tr>
      <w:tr w:rsidR="00946368" w:rsidRPr="000D2186" w:rsidTr="000542B4">
        <w:trPr>
          <w:cantSplit/>
        </w:trPr>
        <w:tc>
          <w:tcPr>
            <w:tcW w:w="1728" w:type="dxa"/>
          </w:tcPr>
          <w:p w:rsidR="00946368" w:rsidRPr="000D2186" w:rsidRDefault="00946368" w:rsidP="008B3EA2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:b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:b/>
                <w14:ligatures w14:val="standardContextual"/>
                <w14:numForm w14:val="oldStyle"/>
              </w:rPr>
              <w:t>PLOT</w:t>
            </w:r>
          </w:p>
        </w:tc>
        <w:tc>
          <w:tcPr>
            <w:tcW w:w="8100" w:type="dxa"/>
          </w:tcPr>
          <w:p w:rsidR="0004752E" w:rsidRPr="000D2186" w:rsidRDefault="00946368" w:rsidP="0004752E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Plot has been defined as “a completed process of change.”</w:t>
            </w:r>
            <w:r w:rsidR="000542B4" w:rsidRPr="000D2186">
              <w:rPr>
                <w14:ligatures w14:val="standardContextual"/>
                <w14:numForm w14:val="oldStyle"/>
              </w:rPr>
              <w:t xml:space="preserve">  †</w:t>
            </w:r>
            <w:r w:rsidR="0004752E" w:rsidRPr="000D2186">
              <w:rPr>
                <w14:ligatures w14:val="standardContextual"/>
                <w14:numForm w14:val="oldStyle"/>
              </w:rPr>
              <w:br/>
              <w:t xml:space="preserve">A story is “a narrative of events in their time-sequence. A </w:t>
            </w:r>
            <w:r w:rsidR="0004752E" w:rsidRPr="000D2186">
              <w:rPr>
                <w:i/>
                <w14:ligatures w14:val="standardContextual"/>
                <w14:numForm w14:val="oldStyle"/>
              </w:rPr>
              <w:t>plot</w:t>
            </w:r>
            <w:r w:rsidR="0004752E" w:rsidRPr="000D2186">
              <w:rPr>
                <w14:ligatures w14:val="standardContextual"/>
                <w14:numForm w14:val="oldStyle"/>
              </w:rPr>
              <w:t xml:space="preserve"> is also a narrative of events, the emphasis falling on causality.” --Forster</w:t>
            </w:r>
          </w:p>
        </w:tc>
      </w:tr>
      <w:tr w:rsidR="008B3EA2" w:rsidRPr="000D2186" w:rsidTr="000542B4">
        <w:trPr>
          <w:cantSplit/>
        </w:trPr>
        <w:tc>
          <w:tcPr>
            <w:tcW w:w="1728" w:type="dxa"/>
          </w:tcPr>
          <w:p w:rsidR="008B3EA2" w:rsidRPr="000D2186" w:rsidRDefault="008B3EA2" w:rsidP="008B3EA2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:b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:b/>
                <w14:ligatures w14:val="standardContextual"/>
                <w14:numForm w14:val="oldStyle"/>
              </w:rPr>
              <w:t>POINT OF VIEW</w:t>
            </w:r>
          </w:p>
        </w:tc>
        <w:tc>
          <w:tcPr>
            <w:tcW w:w="8100" w:type="dxa"/>
          </w:tcPr>
          <w:p w:rsidR="008B3EA2" w:rsidRPr="000D2186" w:rsidRDefault="0004752E" w:rsidP="0004752E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 xml:space="preserve">the vantage point from which an author tells a story. </w:t>
            </w:r>
            <w:r w:rsidRPr="000D2186">
              <w:rPr>
                <w:sz w:val="23"/>
                <w:szCs w:val="23"/>
                <w14:ligatures w14:val="standardContextual"/>
                <w14:numForm w14:val="oldStyle"/>
              </w:rPr>
              <w:t xml:space="preserve">The two broad categories are (1) the third-person narrator who tells the story and does not participate in the action and (2) the first-person narrator who is a major or minor participant.  </w:t>
            </w:r>
          </w:p>
        </w:tc>
      </w:tr>
      <w:tr w:rsidR="008B3EA2" w:rsidRPr="000D2186" w:rsidTr="000542B4">
        <w:trPr>
          <w:cantSplit/>
        </w:trPr>
        <w:tc>
          <w:tcPr>
            <w:tcW w:w="1728" w:type="dxa"/>
          </w:tcPr>
          <w:p w:rsidR="008B3EA2" w:rsidRPr="000D2186" w:rsidRDefault="008B3EA2" w:rsidP="008B3EA2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Repetition</w:t>
            </w:r>
          </w:p>
        </w:tc>
        <w:tc>
          <w:tcPr>
            <w:tcW w:w="8100" w:type="dxa"/>
          </w:tcPr>
          <w:p w:rsidR="008B3EA2" w:rsidRPr="000D2186" w:rsidRDefault="008B3EA2" w:rsidP="000542B4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can be lexical or grammatical; incantatory rhythms and repetitions</w:t>
            </w:r>
            <w:r w:rsidR="000542B4" w:rsidRPr="000D2186">
              <w:rPr>
                <w14:ligatures w14:val="standardContextual"/>
                <w14:numForm w14:val="oldStyle"/>
              </w:rPr>
              <w:t> †</w:t>
            </w:r>
          </w:p>
        </w:tc>
      </w:tr>
      <w:tr w:rsidR="008B3EA2" w:rsidRPr="000D2186" w:rsidTr="000542B4">
        <w:trPr>
          <w:cantSplit/>
        </w:trPr>
        <w:tc>
          <w:tcPr>
            <w:tcW w:w="1728" w:type="dxa"/>
          </w:tcPr>
          <w:p w:rsidR="008B3EA2" w:rsidRPr="000D2186" w:rsidRDefault="008B3EA2" w:rsidP="008B3EA2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:b/>
                <w:color w:val="002060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:b/>
                <w:color w:val="002060"/>
                <w14:ligatures w14:val="standardContextual"/>
                <w14:numForm w14:val="oldStyle"/>
              </w:rPr>
              <w:t>SETTING</w:t>
            </w:r>
          </w:p>
        </w:tc>
        <w:tc>
          <w:tcPr>
            <w:tcW w:w="8100" w:type="dxa"/>
          </w:tcPr>
          <w:p w:rsidR="008B3EA2" w:rsidRPr="000D2186" w:rsidRDefault="0004752E" w:rsidP="00C83588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the background of a story in [1] </w:t>
            </w:r>
            <w:r w:rsidRPr="000D2186">
              <w:rPr>
                <w:smallCaps/>
                <w14:ligatures w14:val="standardContextual"/>
                <w14:numForm w14:val="oldStyle"/>
              </w:rPr>
              <w:t>place</w:t>
            </w:r>
            <w:r w:rsidRPr="000D2186">
              <w:rPr>
                <w14:ligatures w14:val="standardContextual"/>
                <w14:numForm w14:val="oldStyle"/>
              </w:rPr>
              <w:t>, including city/country/region, indoors or out</w:t>
            </w:r>
            <w:r w:rsidR="009F6B2F" w:rsidRPr="000D2186">
              <w:rPr>
                <w14:ligatures w14:val="standardContextual"/>
                <w14:numForm w14:val="oldStyle"/>
              </w:rPr>
              <w:t>, weather</w:t>
            </w:r>
            <w:r w:rsidRPr="000D2186">
              <w:rPr>
                <w14:ligatures w14:val="standardContextual"/>
                <w14:numForm w14:val="oldStyle"/>
              </w:rPr>
              <w:t xml:space="preserve"> and [2] </w:t>
            </w:r>
            <w:r w:rsidRPr="000D2186">
              <w:rPr>
                <w:smallCaps/>
                <w14:ligatures w14:val="standardContextual"/>
                <w14:numForm w14:val="oldStyle"/>
              </w:rPr>
              <w:t>time</w:t>
            </w:r>
            <w:r w:rsidRPr="000D2186">
              <w:rPr>
                <w14:ligatures w14:val="standardContextual"/>
                <w14:numForm w14:val="oldStyle"/>
              </w:rPr>
              <w:t xml:space="preserve">, including century, year, </w:t>
            </w:r>
            <w:r w:rsidR="00C83588" w:rsidRPr="000D2186">
              <w:rPr>
                <w14:ligatures w14:val="standardContextual"/>
                <w14:numForm w14:val="oldStyle"/>
              </w:rPr>
              <w:t xml:space="preserve">historical and </w:t>
            </w:r>
            <w:r w:rsidRPr="000D2186">
              <w:rPr>
                <w14:ligatures w14:val="standardContextual"/>
                <w14:numForm w14:val="oldStyle"/>
              </w:rPr>
              <w:t>social conditions, season</w:t>
            </w:r>
            <w:r w:rsidR="00C83588" w:rsidRPr="000D2186">
              <w:rPr>
                <w14:ligatures w14:val="standardContextual"/>
                <w14:numForm w14:val="oldStyle"/>
              </w:rPr>
              <w:t>, day/night, and the like</w:t>
            </w:r>
            <w:r w:rsidRPr="000D2186">
              <w:rPr>
                <w14:ligatures w14:val="standardContextual"/>
                <w14:numForm w14:val="oldStyle"/>
              </w:rPr>
              <w:t xml:space="preserve"> </w:t>
            </w:r>
          </w:p>
        </w:tc>
      </w:tr>
      <w:tr w:rsidR="008B3EA2" w:rsidRPr="000D2186" w:rsidTr="000542B4">
        <w:trPr>
          <w:cantSplit/>
        </w:trPr>
        <w:tc>
          <w:tcPr>
            <w:tcW w:w="1728" w:type="dxa"/>
          </w:tcPr>
          <w:p w:rsidR="008B3EA2" w:rsidRPr="000D2186" w:rsidRDefault="008B3EA2" w:rsidP="008B3EA2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Showing and Telling</w:t>
            </w:r>
          </w:p>
        </w:tc>
        <w:tc>
          <w:tcPr>
            <w:tcW w:w="8100" w:type="dxa"/>
          </w:tcPr>
          <w:p w:rsidR="008B3EA2" w:rsidRPr="000D2186" w:rsidRDefault="008B3EA2" w:rsidP="008B3EA2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 xml:space="preserve">Fictional discourse constantly alternates between </w:t>
            </w:r>
            <w:r w:rsidRPr="000D2186">
              <w:rPr>
                <w:i/>
                <w:iCs/>
                <w14:ligatures w14:val="standardContextual"/>
                <w14:numForm w14:val="oldStyle"/>
              </w:rPr>
              <w:t>showing</w:t>
            </w:r>
            <w:r w:rsidRPr="000D2186">
              <w:rPr>
                <w14:ligatures w14:val="standardContextual"/>
                <w14:numForm w14:val="oldStyle"/>
              </w:rPr>
              <w:t xml:space="preserve"> us what happened and </w:t>
            </w:r>
            <w:r w:rsidRPr="000D2186">
              <w:rPr>
                <w:i/>
                <w:iCs/>
                <w14:ligatures w14:val="standardContextual"/>
                <w14:numForm w14:val="oldStyle"/>
              </w:rPr>
              <w:t>telling</w:t>
            </w:r>
            <w:r w:rsidRPr="000D2186">
              <w:rPr>
                <w14:ligatures w14:val="standardContextual"/>
                <w14:numForm w14:val="oldStyle"/>
              </w:rPr>
              <w:t xml:space="preserve"> us what happened. [Scene and Narration]</w:t>
            </w:r>
            <w:r w:rsidR="000542B4" w:rsidRPr="000D2186">
              <w:rPr>
                <w14:ligatures w14:val="standardContextual"/>
                <w14:numForm w14:val="oldStyle"/>
              </w:rPr>
              <w:t xml:space="preserve">  †</w:t>
            </w:r>
          </w:p>
        </w:tc>
      </w:tr>
      <w:tr w:rsidR="00946368" w:rsidRPr="000D2186" w:rsidTr="000542B4">
        <w:trPr>
          <w:cantSplit/>
        </w:trPr>
        <w:tc>
          <w:tcPr>
            <w:tcW w:w="1728" w:type="dxa"/>
          </w:tcPr>
          <w:p w:rsidR="00946368" w:rsidRPr="000D2186" w:rsidRDefault="00946368" w:rsidP="008B3EA2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:b/>
                <w:color w:val="002060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:b/>
                <w:color w:val="002060"/>
                <w14:ligatures w14:val="standardContextual"/>
                <w14:numForm w14:val="oldStyle"/>
              </w:rPr>
              <w:t>STYLE</w:t>
            </w:r>
          </w:p>
        </w:tc>
        <w:tc>
          <w:tcPr>
            <w:tcW w:w="8100" w:type="dxa"/>
          </w:tcPr>
          <w:p w:rsidR="00946368" w:rsidRPr="000D2186" w:rsidRDefault="00C83588" w:rsidP="009F6B2F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 xml:space="preserve">the </w:t>
            </w:r>
            <w:r w:rsidR="009F6B2F" w:rsidRPr="000D2186">
              <w:rPr>
                <w14:ligatures w14:val="standardContextual"/>
                <w14:numForm w14:val="oldStyle"/>
              </w:rPr>
              <w:t xml:space="preserve">individual </w:t>
            </w:r>
            <w:r w:rsidRPr="000D2186">
              <w:rPr>
                <w14:ligatures w14:val="standardContextual"/>
                <w14:numForm w14:val="oldStyle"/>
              </w:rPr>
              <w:t xml:space="preserve">way a </w:t>
            </w:r>
            <w:r w:rsidR="009F6B2F" w:rsidRPr="000D2186">
              <w:rPr>
                <w14:ligatures w14:val="standardContextual"/>
                <w14:numForm w14:val="oldStyle"/>
              </w:rPr>
              <w:t>writer works, especially to achieve a specific effect. The elements of style include diction, syntax, imagery, figurative language, and larger questions of structure, modes of discourse, and the like.</w:t>
            </w:r>
          </w:p>
        </w:tc>
      </w:tr>
      <w:tr w:rsidR="008B3EA2" w:rsidRPr="000D2186" w:rsidTr="000542B4">
        <w:trPr>
          <w:cantSplit/>
        </w:trPr>
        <w:tc>
          <w:tcPr>
            <w:tcW w:w="1728" w:type="dxa"/>
          </w:tcPr>
          <w:p w:rsidR="008B3EA2" w:rsidRPr="000D2186" w:rsidRDefault="008B3EA2" w:rsidP="008B3EA2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:b/>
                <w:color w:val="002060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:b/>
                <w:color w:val="002060"/>
                <w14:ligatures w14:val="standardContextual"/>
                <w14:numForm w14:val="oldStyle"/>
              </w:rPr>
              <w:t>SYMBOL</w:t>
            </w:r>
          </w:p>
        </w:tc>
        <w:tc>
          <w:tcPr>
            <w:tcW w:w="8100" w:type="dxa"/>
          </w:tcPr>
          <w:p w:rsidR="008B3EA2" w:rsidRPr="000D2186" w:rsidRDefault="008B3EA2" w:rsidP="008B3EA2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anything that “stand for” something else is a symbol, but the process operates in many different ways.</w:t>
            </w:r>
            <w:r w:rsidR="000542B4" w:rsidRPr="000D2186">
              <w:rPr>
                <w14:ligatures w14:val="standardContextual"/>
                <w14:numForm w14:val="oldStyle"/>
              </w:rPr>
              <w:t xml:space="preserve">  †</w:t>
            </w:r>
          </w:p>
        </w:tc>
      </w:tr>
      <w:tr w:rsidR="00946368" w:rsidRPr="000D2186" w:rsidTr="000542B4">
        <w:trPr>
          <w:cantSplit/>
        </w:trPr>
        <w:tc>
          <w:tcPr>
            <w:tcW w:w="1728" w:type="dxa"/>
          </w:tcPr>
          <w:p w:rsidR="00946368" w:rsidRPr="000D2186" w:rsidRDefault="00946368" w:rsidP="006F7525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:b/>
                <w:color w:val="002060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:b/>
                <w:color w:val="002060"/>
                <w14:ligatures w14:val="standardContextual"/>
                <w14:numForm w14:val="oldStyle"/>
              </w:rPr>
              <w:t>THEME</w:t>
            </w:r>
          </w:p>
        </w:tc>
        <w:tc>
          <w:tcPr>
            <w:tcW w:w="8100" w:type="dxa"/>
          </w:tcPr>
          <w:p w:rsidR="00946368" w:rsidRPr="000D2186" w:rsidRDefault="00C83588" w:rsidP="006F7525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 xml:space="preserve">a central idea. Like </w:t>
            </w:r>
            <w:r w:rsidRPr="000D2186">
              <w:rPr>
                <w:i/>
                <w14:ligatures w14:val="standardContextual"/>
                <w14:numForm w14:val="oldStyle"/>
              </w:rPr>
              <w:t>thesis,</w:t>
            </w:r>
            <w:r w:rsidRPr="000D2186">
              <w:rPr>
                <w14:ligatures w14:val="standardContextual"/>
                <w14:numForm w14:val="oldStyle"/>
              </w:rPr>
              <w:t xml:space="preserve"> it implies a subject and a predicate of some kind, as opposed to a </w:t>
            </w:r>
            <w:r w:rsidRPr="000D2186">
              <w:rPr>
                <w:i/>
                <w14:ligatures w14:val="standardContextual"/>
                <w14:numForm w14:val="oldStyle"/>
              </w:rPr>
              <w:t>topic</w:t>
            </w:r>
            <w:r w:rsidRPr="000D2186">
              <w:rPr>
                <w14:ligatures w14:val="standardContextual"/>
                <w14:numForm w14:val="oldStyle"/>
              </w:rPr>
              <w:t>, which can be simply a label</w:t>
            </w:r>
          </w:p>
        </w:tc>
      </w:tr>
      <w:tr w:rsidR="00946368" w:rsidRPr="000D2186" w:rsidTr="000542B4">
        <w:trPr>
          <w:cantSplit/>
        </w:trPr>
        <w:tc>
          <w:tcPr>
            <w:tcW w:w="1728" w:type="dxa"/>
          </w:tcPr>
          <w:p w:rsidR="00946368" w:rsidRPr="000D2186" w:rsidRDefault="00946368" w:rsidP="006F7525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:b/>
                <w:color w:val="002060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:b/>
                <w:color w:val="002060"/>
                <w14:ligatures w14:val="standardContextual"/>
                <w14:numForm w14:val="oldStyle"/>
              </w:rPr>
              <w:t>TONE</w:t>
            </w:r>
          </w:p>
        </w:tc>
        <w:tc>
          <w:tcPr>
            <w:tcW w:w="8100" w:type="dxa"/>
          </w:tcPr>
          <w:p w:rsidR="00946368" w:rsidRPr="000D2186" w:rsidRDefault="00C83588" w:rsidP="006F7525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the author’s attitude toward the material in a work or toward the reader. Tone is revealed by style.</w:t>
            </w:r>
          </w:p>
        </w:tc>
      </w:tr>
    </w:tbl>
    <w:p w:rsidR="009F6B2F" w:rsidRPr="000D2186" w:rsidRDefault="009F6B2F">
      <w:pPr>
        <w:rPr>
          <w:rFonts w:ascii="Cambria" w:hAnsi="Cambria"/>
          <w:b/>
          <w:color w:val="002060"/>
          <w14:ligatures w14:val="standardContextual"/>
          <w14:numForm w14:val="oldStyle"/>
        </w:rPr>
        <w:sectPr w:rsidR="009F6B2F" w:rsidRPr="000D2186" w:rsidSect="00323F23">
          <w:endnotePr>
            <w:numFmt w:val="decimal"/>
          </w:endnotePr>
          <w:type w:val="continuous"/>
          <w:pgSz w:w="12240" w:h="15840"/>
          <w:pgMar w:top="720" w:right="1080" w:bottom="720" w:left="1440" w:header="720" w:footer="720" w:gutter="0"/>
          <w:cols w:space="720"/>
          <w:noEndnote/>
        </w:sectPr>
      </w:pPr>
    </w:p>
    <w:p w:rsidR="00323F23" w:rsidRPr="000D2186" w:rsidRDefault="00323F23" w:rsidP="00323F23">
      <w:pPr>
        <w:keepLines/>
        <w:overflowPunct/>
        <w:jc w:val="center"/>
        <w:textAlignment w:val="auto"/>
        <w:rPr>
          <w:rFonts w:ascii="Cambria" w:hAnsi="Cambria" w:cs="Calibri"/>
          <w:color w:val="800000"/>
          <w:spacing w:val="160"/>
          <w:sz w:val="12"/>
          <w:szCs w:val="12"/>
          <w:lang w:val="en-GB"/>
          <w14:ligatures w14:val="standardContextual"/>
          <w14:numForm w14:val="oldStyle"/>
        </w:rPr>
      </w:pPr>
    </w:p>
    <w:p w:rsidR="009F6B2F" w:rsidRPr="000D2186" w:rsidRDefault="009F6B2F" w:rsidP="009F6B2F">
      <w:pPr>
        <w:pStyle w:val="Heading2"/>
        <w:rPr>
          <w14:ligatures w14:val="standardContextual"/>
          <w14:numForm w14:val="oldStyle"/>
        </w:rPr>
      </w:pPr>
      <w:r w:rsidRPr="000D2186">
        <w:rPr>
          <w14:ligatures w14:val="standardContextual"/>
          <w14:numForm w14:val="oldStyle"/>
        </w:rPr>
        <w:t>Elements in many novels</w:t>
      </w:r>
    </w:p>
    <w:tbl>
      <w:tblPr>
        <w:tblW w:w="0" w:type="auto"/>
        <w:tblBorders>
          <w:top w:val="dotted" w:sz="4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1728"/>
        <w:gridCol w:w="8100"/>
      </w:tblGrid>
      <w:tr w:rsidR="00C932CA" w:rsidRPr="000D2186" w:rsidTr="00957131">
        <w:trPr>
          <w:cantSplit/>
        </w:trPr>
        <w:tc>
          <w:tcPr>
            <w:tcW w:w="1728" w:type="dxa"/>
            <w:tcBorders>
              <w:top w:val="dotted" w:sz="4" w:space="0" w:color="auto"/>
            </w:tcBorders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Comedy</w:t>
            </w:r>
          </w:p>
        </w:tc>
        <w:tc>
          <w:tcPr>
            <w:tcW w:w="8100" w:type="dxa"/>
            <w:tcBorders>
              <w:top w:val="dotted" w:sz="4" w:space="0" w:color="auto"/>
            </w:tcBorders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Two primary sources: situation and style. Both depend crucially upon timing</w:t>
            </w:r>
            <w:r w:rsidR="000542B4" w:rsidRPr="000D2186">
              <w:rPr>
                <w14:ligatures w14:val="standardContextual"/>
                <w14:numForm w14:val="oldStyle"/>
              </w:rPr>
              <w:t> †</w:t>
            </w:r>
          </w:p>
        </w:tc>
      </w:tr>
      <w:tr w:rsidR="008B3EA2" w:rsidRPr="000D2186" w:rsidTr="000542B4">
        <w:trPr>
          <w:cantSplit/>
        </w:trPr>
        <w:tc>
          <w:tcPr>
            <w:tcW w:w="1728" w:type="dxa"/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Duration</w:t>
            </w:r>
          </w:p>
        </w:tc>
        <w:tc>
          <w:tcPr>
            <w:tcW w:w="8100" w:type="dxa"/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as measured by comparing the time events would have taken up in reality with the time taken to read about them. This factor affects narrative tempo</w:t>
            </w:r>
            <w:r w:rsidR="000542B4" w:rsidRPr="000D2186">
              <w:rPr>
                <w14:ligatures w14:val="standardContextual"/>
                <w14:numForm w14:val="oldStyle"/>
              </w:rPr>
              <w:t> †</w:t>
            </w:r>
          </w:p>
        </w:tc>
      </w:tr>
      <w:tr w:rsidR="00C932CA" w:rsidRPr="000D2186" w:rsidTr="000542B4">
        <w:trPr>
          <w:cantSplit/>
        </w:trPr>
        <w:tc>
          <w:tcPr>
            <w:tcW w:w="1728" w:type="dxa"/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Epiphany</w:t>
            </w:r>
          </w:p>
        </w:tc>
        <w:tc>
          <w:tcPr>
            <w:tcW w:w="8100" w:type="dxa"/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literally, a showing. Any descriptive passage in which external reality is charged with a kind of transcendental significance for the perceiver</w:t>
            </w:r>
            <w:r w:rsidR="000542B4" w:rsidRPr="000D2186">
              <w:rPr>
                <w14:ligatures w14:val="standardContextual"/>
                <w14:numForm w14:val="oldStyle"/>
              </w:rPr>
              <w:t> †</w:t>
            </w:r>
          </w:p>
        </w:tc>
      </w:tr>
      <w:tr w:rsidR="00C932CA" w:rsidRPr="000D2186" w:rsidTr="000542B4">
        <w:trPr>
          <w:cantSplit/>
        </w:trPr>
        <w:tc>
          <w:tcPr>
            <w:tcW w:w="1728" w:type="dxa"/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Epistolary Novel</w:t>
            </w:r>
          </w:p>
        </w:tc>
        <w:tc>
          <w:tcPr>
            <w:tcW w:w="8100" w:type="dxa"/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advantages: can have more than one correspondent and thus show the same event from different points of view</w:t>
            </w:r>
            <w:r w:rsidR="000542B4" w:rsidRPr="000D2186">
              <w:rPr>
                <w14:ligatures w14:val="standardContextual"/>
                <w14:numForm w14:val="oldStyle"/>
              </w:rPr>
              <w:t> †</w:t>
            </w:r>
          </w:p>
        </w:tc>
      </w:tr>
      <w:tr w:rsidR="00C932CA" w:rsidRPr="000D2186" w:rsidTr="000542B4">
        <w:trPr>
          <w:cantSplit/>
        </w:trPr>
        <w:tc>
          <w:tcPr>
            <w:tcW w:w="1728" w:type="dxa"/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Exotic</w:t>
            </w:r>
          </w:p>
        </w:tc>
        <w:tc>
          <w:tcPr>
            <w:tcW w:w="8100" w:type="dxa"/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foreign, but not necessarily glamorous or alluring</w:t>
            </w:r>
            <w:r w:rsidR="000542B4" w:rsidRPr="000D2186">
              <w:rPr>
                <w14:ligatures w14:val="standardContextual"/>
                <w14:numForm w14:val="oldStyle"/>
              </w:rPr>
              <w:t> †</w:t>
            </w:r>
          </w:p>
        </w:tc>
      </w:tr>
      <w:tr w:rsidR="00C932CA" w:rsidRPr="000D2186" w:rsidTr="000542B4">
        <w:trPr>
          <w:cantSplit/>
        </w:trPr>
        <w:tc>
          <w:tcPr>
            <w:tcW w:w="1728" w:type="dxa"/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Implication</w:t>
            </w:r>
          </w:p>
        </w:tc>
        <w:tc>
          <w:tcPr>
            <w:tcW w:w="8100" w:type="dxa"/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especially sexual in Victorian lit</w:t>
            </w:r>
            <w:r w:rsidR="000542B4" w:rsidRPr="000D2186">
              <w:rPr>
                <w14:ligatures w14:val="standardContextual"/>
                <w14:numForm w14:val="oldStyle"/>
              </w:rPr>
              <w:t> †</w:t>
            </w:r>
          </w:p>
        </w:tc>
      </w:tr>
      <w:tr w:rsidR="00C932CA" w:rsidRPr="000D2186" w:rsidTr="000542B4">
        <w:trPr>
          <w:cantSplit/>
        </w:trPr>
        <w:tc>
          <w:tcPr>
            <w:tcW w:w="1728" w:type="dxa"/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Interior Monologue</w:t>
            </w:r>
          </w:p>
        </w:tc>
        <w:tc>
          <w:tcPr>
            <w:tcW w:w="8100" w:type="dxa"/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very difficult technique to use… apt to impose a painfully slow pace on the narrative</w:t>
            </w:r>
            <w:r w:rsidR="000542B4" w:rsidRPr="000D2186">
              <w:rPr>
                <w14:ligatures w14:val="standardContextual"/>
                <w14:numForm w14:val="oldStyle"/>
              </w:rPr>
              <w:t> †</w:t>
            </w:r>
          </w:p>
        </w:tc>
      </w:tr>
      <w:tr w:rsidR="00C932CA" w:rsidRPr="000D2186" w:rsidTr="000542B4">
        <w:trPr>
          <w:cantSplit/>
        </w:trPr>
        <w:tc>
          <w:tcPr>
            <w:tcW w:w="1728" w:type="dxa"/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Intrusive Author</w:t>
            </w:r>
          </w:p>
        </w:tc>
        <w:tc>
          <w:tcPr>
            <w:tcW w:w="8100" w:type="dxa"/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around the turn of the century fell into disfavour</w:t>
            </w:r>
            <w:r w:rsidR="000542B4" w:rsidRPr="000D2186">
              <w:rPr>
                <w14:ligatures w14:val="standardContextual"/>
                <w14:numForm w14:val="oldStyle"/>
              </w:rPr>
              <w:t> †</w:t>
            </w:r>
          </w:p>
        </w:tc>
      </w:tr>
      <w:tr w:rsidR="00C932CA" w:rsidRPr="000D2186" w:rsidTr="000542B4">
        <w:trPr>
          <w:cantSplit/>
        </w:trPr>
        <w:tc>
          <w:tcPr>
            <w:tcW w:w="1728" w:type="dxa"/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Magic Realism</w:t>
            </w:r>
          </w:p>
        </w:tc>
        <w:tc>
          <w:tcPr>
            <w:tcW w:w="8100" w:type="dxa"/>
          </w:tcPr>
          <w:p w:rsidR="008B3EA2" w:rsidRPr="000D2186" w:rsidRDefault="00922F5C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marvellous</w:t>
            </w:r>
            <w:r w:rsidR="008B3EA2" w:rsidRPr="000D2186">
              <w:rPr>
                <w14:ligatures w14:val="standardContextual"/>
                <w14:numForm w14:val="oldStyle"/>
              </w:rPr>
              <w:t xml:space="preserve"> and impossible events occur in what otherwise purports to be a realistic narrative</w:t>
            </w:r>
            <w:r w:rsidR="000542B4" w:rsidRPr="000D2186">
              <w:rPr>
                <w14:ligatures w14:val="standardContextual"/>
                <w14:numForm w14:val="oldStyle"/>
              </w:rPr>
              <w:t> †</w:t>
            </w:r>
          </w:p>
        </w:tc>
      </w:tr>
      <w:tr w:rsidR="00C932CA" w:rsidRPr="000D2186" w:rsidTr="000542B4">
        <w:trPr>
          <w:cantSplit/>
        </w:trPr>
        <w:tc>
          <w:tcPr>
            <w:tcW w:w="1728" w:type="dxa"/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Metaficiton</w:t>
            </w:r>
          </w:p>
        </w:tc>
        <w:tc>
          <w:tcPr>
            <w:tcW w:w="8100" w:type="dxa"/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fiction about fiction</w:t>
            </w: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 xml:space="preserve"> </w:t>
            </w: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br/>
              <w:t>novels and stories that call attention to their own compositional procedures.</w:t>
            </w:r>
            <w:r w:rsidR="000542B4" w:rsidRPr="000D2186">
              <w:rPr>
                <w14:ligatures w14:val="standardContextual"/>
                <w14:numForm w14:val="oldStyle"/>
              </w:rPr>
              <w:t xml:space="preserve">  †</w:t>
            </w:r>
          </w:p>
        </w:tc>
      </w:tr>
      <w:tr w:rsidR="00C932CA" w:rsidRPr="000D2186" w:rsidTr="000542B4">
        <w:trPr>
          <w:cantSplit/>
        </w:trPr>
        <w:tc>
          <w:tcPr>
            <w:tcW w:w="1728" w:type="dxa"/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Names</w:t>
            </w:r>
          </w:p>
        </w:tc>
        <w:tc>
          <w:tcPr>
            <w:tcW w:w="8100" w:type="dxa"/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In a novel names are never neutral.</w:t>
            </w:r>
            <w:r w:rsidR="000542B4" w:rsidRPr="000D2186">
              <w:rPr>
                <w14:ligatures w14:val="standardContextual"/>
                <w14:numForm w14:val="oldStyle"/>
              </w:rPr>
              <w:t xml:space="preserve">  †</w:t>
            </w:r>
          </w:p>
        </w:tc>
      </w:tr>
      <w:tr w:rsidR="00C932CA" w:rsidRPr="000D2186" w:rsidTr="000542B4">
        <w:trPr>
          <w:cantSplit/>
        </w:trPr>
        <w:tc>
          <w:tcPr>
            <w:tcW w:w="1728" w:type="dxa"/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Sense of Past</w:t>
            </w:r>
          </w:p>
        </w:tc>
        <w:tc>
          <w:tcPr>
            <w:tcW w:w="8100" w:type="dxa"/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“historical novels (19th century) dealt with historical personages and events; but also evoked the past in terms of culture, ideology, manners and morals</w:t>
            </w:r>
            <w:r w:rsidR="000542B4" w:rsidRPr="000D2186">
              <w:rPr>
                <w14:ligatures w14:val="standardContextual"/>
                <w14:numForm w14:val="oldStyle"/>
              </w:rPr>
              <w:t> †</w:t>
            </w:r>
          </w:p>
        </w:tc>
      </w:tr>
      <w:tr w:rsidR="00C932CA" w:rsidRPr="000D2186" w:rsidTr="000542B4">
        <w:trPr>
          <w:cantSplit/>
        </w:trPr>
        <w:tc>
          <w:tcPr>
            <w:tcW w:w="1728" w:type="dxa"/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Stream of Consciousness</w:t>
            </w:r>
          </w:p>
        </w:tc>
        <w:tc>
          <w:tcPr>
            <w:tcW w:w="8100" w:type="dxa"/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1] one technique is interior monologue</w:t>
            </w:r>
            <w:r w:rsidRPr="000D2186">
              <w:rPr>
                <w14:ligatures w14:val="standardContextual"/>
                <w14:numForm w14:val="oldStyle"/>
              </w:rPr>
              <w:br/>
            </w: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2] second technique is free indirect style. It renders thought as reported speech but keeps the kind of vocabulary that is appropriate to the character, and deletes some of the tags</w:t>
            </w:r>
            <w:r w:rsidR="000542B4" w:rsidRPr="000D2186">
              <w:rPr>
                <w14:ligatures w14:val="standardContextual"/>
                <w14:numForm w14:val="oldStyle"/>
              </w:rPr>
              <w:t> †</w:t>
            </w:r>
          </w:p>
        </w:tc>
      </w:tr>
      <w:tr w:rsidR="00C932CA" w:rsidRPr="000D2186" w:rsidTr="000542B4">
        <w:trPr>
          <w:cantSplit/>
        </w:trPr>
        <w:tc>
          <w:tcPr>
            <w:tcW w:w="1728" w:type="dxa"/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Allegory</w:t>
            </w:r>
          </w:p>
        </w:tc>
        <w:tc>
          <w:tcPr>
            <w:tcW w:w="8100" w:type="dxa"/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does not merely suggest, but insists on being decoded in terms of another meaning; at every point a one-to-one correspondence to the implied meaning</w:t>
            </w:r>
            <w:r w:rsidR="000542B4" w:rsidRPr="000D2186">
              <w:rPr>
                <w14:ligatures w14:val="standardContextual"/>
                <w14:numForm w14:val="oldStyle"/>
              </w:rPr>
              <w:t> †</w:t>
            </w:r>
          </w:p>
        </w:tc>
      </w:tr>
      <w:tr w:rsidR="00C932CA" w:rsidRPr="000D2186" w:rsidTr="000542B4">
        <w:trPr>
          <w:cantSplit/>
        </w:trPr>
        <w:tc>
          <w:tcPr>
            <w:tcW w:w="1728" w:type="dxa"/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Time-Shift</w:t>
            </w:r>
          </w:p>
        </w:tc>
        <w:tc>
          <w:tcPr>
            <w:tcW w:w="8100" w:type="dxa"/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narrative avoids presenting life [in order] and allows us to make connections of causality and irony between widely separated events</w:t>
            </w:r>
            <w:r w:rsidR="000542B4" w:rsidRPr="000D2186">
              <w:rPr>
                <w14:ligatures w14:val="standardContextual"/>
                <w14:numForm w14:val="oldStyle"/>
              </w:rPr>
              <w:t> †</w:t>
            </w:r>
          </w:p>
        </w:tc>
      </w:tr>
      <w:tr w:rsidR="00C932CA" w:rsidRPr="000D2186" w:rsidTr="000542B4">
        <w:trPr>
          <w:cantSplit/>
        </w:trPr>
        <w:tc>
          <w:tcPr>
            <w:tcW w:w="1728" w:type="dxa"/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Title</w:t>
            </w:r>
          </w:p>
        </w:tc>
        <w:tc>
          <w:tcPr>
            <w:tcW w:w="8100" w:type="dxa"/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The title is part of the text--the first part of it, in fact</w:t>
            </w:r>
            <w:r w:rsidR="000542B4" w:rsidRPr="000D2186">
              <w:rPr>
                <w14:ligatures w14:val="standardContextual"/>
                <w14:numForm w14:val="oldStyle"/>
              </w:rPr>
              <w:t> †</w:t>
            </w:r>
          </w:p>
        </w:tc>
      </w:tr>
      <w:tr w:rsidR="00C932CA" w:rsidRPr="000D2186" w:rsidTr="000542B4">
        <w:trPr>
          <w:cantSplit/>
        </w:trPr>
        <w:tc>
          <w:tcPr>
            <w:tcW w:w="1728" w:type="dxa"/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Unreliable Narrator</w:t>
            </w:r>
          </w:p>
        </w:tc>
        <w:tc>
          <w:tcPr>
            <w:tcW w:w="8100" w:type="dxa"/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invariably invented characters who are part of the stories they tell</w:t>
            </w:r>
            <w:r w:rsidR="000542B4" w:rsidRPr="000D2186">
              <w:rPr>
                <w14:ligatures w14:val="standardContextual"/>
                <w14:numForm w14:val="oldStyle"/>
              </w:rPr>
              <w:t> †</w:t>
            </w:r>
          </w:p>
        </w:tc>
      </w:tr>
    </w:tbl>
    <w:p w:rsidR="000542B4" w:rsidRPr="000D2186" w:rsidRDefault="000542B4" w:rsidP="00FC5C98">
      <w:pPr>
        <w:keepLines/>
        <w:tabs>
          <w:tab w:val="left" w:pos="540"/>
          <w:tab w:val="left" w:pos="900"/>
          <w:tab w:val="left" w:pos="1260"/>
          <w:tab w:val="left" w:pos="1620"/>
        </w:tabs>
        <w:suppressAutoHyphens/>
        <w:rPr>
          <w:rFonts w:ascii="Calibri" w:hAnsi="Calibri" w:cs="Calibri"/>
          <w:lang w:val="en-GB"/>
          <w14:ligatures w14:val="standardContextual"/>
          <w14:numForm w14:val="oldStyle"/>
        </w:rPr>
      </w:pPr>
    </w:p>
    <w:p w:rsidR="000542B4" w:rsidRPr="000D2186" w:rsidRDefault="000542B4" w:rsidP="000542B4">
      <w:pPr>
        <w:keepLines/>
        <w:tabs>
          <w:tab w:val="left" w:pos="540"/>
          <w:tab w:val="left" w:pos="900"/>
          <w:tab w:val="left" w:pos="1260"/>
          <w:tab w:val="left" w:pos="1620"/>
        </w:tabs>
        <w:suppressAutoHyphens/>
        <w:ind w:left="3600"/>
        <w:jc w:val="right"/>
        <w:rPr>
          <w:rFonts w:ascii="Cambria" w:hAnsi="Cambria" w:cs="Calibri"/>
          <w:sz w:val="18"/>
          <w:szCs w:val="18"/>
          <w:lang w:val="en-GB"/>
          <w14:ligatures w14:val="standardContextual"/>
          <w14:numForm w14:val="oldStyle"/>
        </w:rPr>
      </w:pPr>
      <w:r w:rsidRPr="000D2186">
        <w:rPr>
          <w:rFonts w:ascii="Cambria" w:hAnsi="Cambria" w:cs="Calibri"/>
          <w:sz w:val="18"/>
          <w:szCs w:val="18"/>
          <w:lang w:val="en-GB"/>
          <w14:ligatures w14:val="standardContextual"/>
          <w14:numForm w14:val="oldStyle"/>
        </w:rPr>
        <w:t xml:space="preserve">† adapted from David Lodge, </w:t>
      </w:r>
      <w:r w:rsidRPr="000D2186">
        <w:rPr>
          <w:rFonts w:ascii="Cambria" w:hAnsi="Cambria" w:cs="Calibri"/>
          <w:i/>
          <w:sz w:val="18"/>
          <w:szCs w:val="18"/>
          <w:lang w:val="en-GB"/>
          <w14:ligatures w14:val="standardContextual"/>
          <w14:numForm w14:val="oldStyle"/>
        </w:rPr>
        <w:t>The Art of Fiction,</w:t>
      </w:r>
      <w:r w:rsidRPr="000D2186">
        <w:rPr>
          <w:rFonts w:ascii="Cambria" w:hAnsi="Cambria" w:cs="Calibri"/>
          <w:sz w:val="18"/>
          <w:szCs w:val="18"/>
          <w:lang w:val="en-GB"/>
          <w14:ligatures w14:val="standardContextual"/>
          <w14:numForm w14:val="oldStyle"/>
        </w:rPr>
        <w:t xml:space="preserve"> London: Penguin, 1992. </w:t>
      </w:r>
      <w:r w:rsidR="000D2186">
        <w:rPr>
          <w:rFonts w:ascii="Cambria" w:hAnsi="Cambria" w:cs="Calibri"/>
          <w:sz w:val="18"/>
          <w:szCs w:val="18"/>
          <w:lang w:val="en-GB"/>
          <w14:ligatures w14:val="standardContextual"/>
          <w14:numForm w14:val="oldStyle"/>
        </w:rPr>
        <w:t>Print. [</w:t>
      </w:r>
      <w:r w:rsidRPr="000D2186">
        <w:rPr>
          <w:rFonts w:ascii="Cambria" w:hAnsi="Cambria" w:cs="Calibri"/>
          <w:sz w:val="18"/>
          <w:szCs w:val="18"/>
          <w:lang w:val="en-GB"/>
          <w14:ligatures w14:val="standardContextual"/>
          <w14:numForm w14:val="oldStyle"/>
        </w:rPr>
        <w:t>An invaluable source with the strongest recommendation.</w:t>
      </w:r>
      <w:r w:rsidR="000D2186">
        <w:rPr>
          <w:rFonts w:ascii="Cambria" w:hAnsi="Cambria" w:cs="Calibri"/>
          <w:sz w:val="18"/>
          <w:szCs w:val="18"/>
          <w:lang w:val="en-GB"/>
          <w14:ligatures w14:val="standardContextual"/>
          <w14:numForm w14:val="oldStyle"/>
        </w:rPr>
        <w:t>]</w:t>
      </w:r>
    </w:p>
    <w:sectPr w:rsidR="000542B4" w:rsidRPr="000D2186" w:rsidSect="00323F23">
      <w:endnotePr>
        <w:numFmt w:val="decimal"/>
      </w:endnotePr>
      <w:pgSz w:w="12240" w:h="15840"/>
      <w:pgMar w:top="720" w:right="1080" w:bottom="72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F60" w:rsidRDefault="002A6F60">
      <w:pPr>
        <w:spacing w:line="20" w:lineRule="exact"/>
      </w:pPr>
    </w:p>
  </w:endnote>
  <w:endnote w:type="continuationSeparator" w:id="0">
    <w:p w:rsidR="002A6F60" w:rsidRDefault="002A6F60">
      <w:r>
        <w:t xml:space="preserve"> </w:t>
      </w:r>
    </w:p>
  </w:endnote>
  <w:endnote w:type="continuationNotice" w:id="1">
    <w:p w:rsidR="002A6F60" w:rsidRDefault="002A6F60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ante MT Alt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F60" w:rsidRDefault="002A6F60">
      <w:r>
        <w:separator/>
      </w:r>
    </w:p>
  </w:footnote>
  <w:footnote w:type="continuationSeparator" w:id="0">
    <w:p w:rsidR="002A6F60" w:rsidRDefault="002A6F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2205"/>
    <w:multiLevelType w:val="hybridMultilevel"/>
    <w:tmpl w:val="99BA083A"/>
    <w:lvl w:ilvl="0" w:tplc="0BDC463E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F3D42"/>
    <w:multiLevelType w:val="hybridMultilevel"/>
    <w:tmpl w:val="277E6DE0"/>
    <w:lvl w:ilvl="0" w:tplc="B6D815AA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6D00C7"/>
    <w:multiLevelType w:val="hybridMultilevel"/>
    <w:tmpl w:val="9A3ED500"/>
    <w:lvl w:ilvl="0" w:tplc="01520C1A">
      <w:start w:val="1"/>
      <w:numFmt w:val="decimal"/>
      <w:pStyle w:val="SubItem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FA0B31"/>
    <w:multiLevelType w:val="hybridMultilevel"/>
    <w:tmpl w:val="812C02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97D7E"/>
    <w:multiLevelType w:val="hybridMultilevel"/>
    <w:tmpl w:val="99FAABBA"/>
    <w:lvl w:ilvl="0" w:tplc="7546A1D4">
      <w:start w:val="1"/>
      <w:numFmt w:val="bullet"/>
      <w:pStyle w:val="Level3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2FBF5D9D"/>
    <w:multiLevelType w:val="hybridMultilevel"/>
    <w:tmpl w:val="8E9A5642"/>
    <w:lvl w:ilvl="0" w:tplc="72CA3A02">
      <w:start w:val="1"/>
      <w:numFmt w:val="lowerLetter"/>
      <w:pStyle w:val="Heading43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962D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B130697"/>
    <w:multiLevelType w:val="hybridMultilevel"/>
    <w:tmpl w:val="DC0AF2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941A02"/>
    <w:multiLevelType w:val="hybridMultilevel"/>
    <w:tmpl w:val="D8EC753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7EDF154E"/>
    <w:multiLevelType w:val="hybridMultilevel"/>
    <w:tmpl w:val="EF9249BA"/>
    <w:lvl w:ilvl="0" w:tplc="C2943710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3"/>
  </w:num>
  <w:num w:numId="5">
    <w:abstractNumId w:val="1"/>
  </w:num>
  <w:num w:numId="6">
    <w:abstractNumId w:val="7"/>
  </w:num>
  <w:num w:numId="7">
    <w:abstractNumId w:val="6"/>
  </w:num>
  <w:num w:numId="8">
    <w:abstractNumId w:val="5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38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F40"/>
    <w:rsid w:val="0004752E"/>
    <w:rsid w:val="00050864"/>
    <w:rsid w:val="000542B4"/>
    <w:rsid w:val="000C17EE"/>
    <w:rsid w:val="000D2186"/>
    <w:rsid w:val="000F3430"/>
    <w:rsid w:val="001828C7"/>
    <w:rsid w:val="001C270D"/>
    <w:rsid w:val="002204AF"/>
    <w:rsid w:val="00281812"/>
    <w:rsid w:val="002A6F60"/>
    <w:rsid w:val="00323F23"/>
    <w:rsid w:val="003C4184"/>
    <w:rsid w:val="004504E5"/>
    <w:rsid w:val="00580CA6"/>
    <w:rsid w:val="005E7631"/>
    <w:rsid w:val="00625B7E"/>
    <w:rsid w:val="00671423"/>
    <w:rsid w:val="006D304C"/>
    <w:rsid w:val="006E2643"/>
    <w:rsid w:val="006F7525"/>
    <w:rsid w:val="007B11F8"/>
    <w:rsid w:val="008B3EA2"/>
    <w:rsid w:val="00922F5C"/>
    <w:rsid w:val="00946368"/>
    <w:rsid w:val="00957131"/>
    <w:rsid w:val="00975339"/>
    <w:rsid w:val="00992434"/>
    <w:rsid w:val="009F6B2F"/>
    <w:rsid w:val="00A34CA3"/>
    <w:rsid w:val="00A60F2D"/>
    <w:rsid w:val="00A976EB"/>
    <w:rsid w:val="00AB3999"/>
    <w:rsid w:val="00B14BB7"/>
    <w:rsid w:val="00B60FCB"/>
    <w:rsid w:val="00C01B84"/>
    <w:rsid w:val="00C83588"/>
    <w:rsid w:val="00C932CA"/>
    <w:rsid w:val="00CB2675"/>
    <w:rsid w:val="00D268A5"/>
    <w:rsid w:val="00E10F40"/>
    <w:rsid w:val="00E70CDD"/>
    <w:rsid w:val="00E86FAD"/>
    <w:rsid w:val="00EB075E"/>
    <w:rsid w:val="00EB3DFD"/>
    <w:rsid w:val="00EE6589"/>
    <w:rsid w:val="00FC5C98"/>
    <w:rsid w:val="00FF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docId w15:val="{862FE6E3-CF56-4F3B-A020-679F836CC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0D2186"/>
    <w:pPr>
      <w:overflowPunct w:val="0"/>
      <w:autoSpaceDE w:val="0"/>
      <w:autoSpaceDN w:val="0"/>
      <w:adjustRightInd w:val="0"/>
      <w:textAlignment w:val="baseline"/>
    </w:pPr>
    <w:rPr>
      <w:rFonts w:asciiTheme="minorHAnsi" w:hAnsiTheme="minorHAnsi" w:cs="Dante MT Alt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14BB7"/>
    <w:pPr>
      <w:keepNext/>
      <w:spacing w:before="240" w:after="60"/>
      <w:outlineLvl w:val="0"/>
    </w:pPr>
    <w:rPr>
      <w:rFonts w:ascii="Cambria" w:eastAsia="Malgun Gothic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9F6B2F"/>
    <w:pPr>
      <w:spacing w:after="120"/>
      <w:jc w:val="center"/>
      <w:outlineLvl w:val="1"/>
    </w:pPr>
    <w:rPr>
      <w:rFonts w:ascii="Calibri" w:hAnsi="Calibri" w:cs="Calibri"/>
      <w:b/>
      <w:color w:val="002060"/>
      <w:spacing w:val="60"/>
    </w:rPr>
  </w:style>
  <w:style w:type="paragraph" w:styleId="Heading3">
    <w:name w:val="heading 3"/>
    <w:basedOn w:val="SubItem"/>
    <w:next w:val="Normal"/>
    <w:link w:val="Heading3Char"/>
    <w:unhideWhenUsed/>
    <w:qFormat/>
    <w:rsid w:val="00B14BB7"/>
    <w:pPr>
      <w:outlineLvl w:val="2"/>
    </w:pPr>
  </w:style>
  <w:style w:type="paragraph" w:styleId="Heading5">
    <w:name w:val="heading 5"/>
    <w:basedOn w:val="Heading43"/>
    <w:next w:val="Normal"/>
    <w:link w:val="Heading5Char"/>
    <w:unhideWhenUsed/>
    <w:qFormat/>
    <w:rsid w:val="00B14BB7"/>
    <w:p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tem">
    <w:name w:val="Item"/>
    <w:basedOn w:val="Normal"/>
    <w:link w:val="ItemChar"/>
    <w:qFormat/>
    <w:rsid w:val="00050864"/>
    <w:pPr>
      <w:keepNext/>
      <w:keepLines/>
      <w:pBdr>
        <w:top w:val="single" w:sz="4" w:space="3" w:color="948A54"/>
      </w:pBdr>
      <w:tabs>
        <w:tab w:val="left" w:pos="-720"/>
        <w:tab w:val="left" w:pos="0"/>
        <w:tab w:val="left" w:pos="540"/>
      </w:tabs>
      <w:suppressAutoHyphens/>
      <w:spacing w:after="120"/>
      <w:ind w:left="547" w:hanging="547"/>
    </w:pPr>
    <w:rPr>
      <w:rFonts w:ascii="Calibri" w:hAnsi="Calibri" w:cs="Calibri"/>
    </w:rPr>
  </w:style>
  <w:style w:type="paragraph" w:customStyle="1" w:styleId="SubItem">
    <w:name w:val="SubItem"/>
    <w:basedOn w:val="Normal"/>
    <w:link w:val="SubItemChar"/>
    <w:qFormat/>
    <w:rsid w:val="00281812"/>
    <w:pPr>
      <w:keepLines/>
      <w:numPr>
        <w:numId w:val="1"/>
      </w:numPr>
      <w:tabs>
        <w:tab w:val="left" w:pos="-720"/>
        <w:tab w:val="left" w:pos="792"/>
      </w:tabs>
      <w:suppressAutoHyphens/>
      <w:spacing w:after="60"/>
      <w:ind w:left="792" w:hanging="432"/>
    </w:pPr>
    <w:rPr>
      <w:rFonts w:ascii="Calibri" w:hAnsi="Calibri" w:cs="Calibri"/>
    </w:rPr>
  </w:style>
  <w:style w:type="character" w:customStyle="1" w:styleId="ItemChar">
    <w:name w:val="Item Char"/>
    <w:link w:val="Item"/>
    <w:rsid w:val="00050864"/>
    <w:rPr>
      <w:rFonts w:ascii="Calibri" w:hAnsi="Calibri" w:cs="Calibri"/>
      <w:sz w:val="24"/>
      <w:szCs w:val="24"/>
    </w:rPr>
  </w:style>
  <w:style w:type="character" w:customStyle="1" w:styleId="Heading2Char">
    <w:name w:val="Heading 2 Char"/>
    <w:link w:val="Heading2"/>
    <w:rsid w:val="009F6B2F"/>
    <w:rPr>
      <w:rFonts w:ascii="Calibri" w:hAnsi="Calibri" w:cs="Calibri"/>
      <w:b/>
      <w:color w:val="002060"/>
      <w:spacing w:val="60"/>
      <w:sz w:val="24"/>
      <w:szCs w:val="24"/>
    </w:rPr>
  </w:style>
  <w:style w:type="character" w:customStyle="1" w:styleId="SubItemChar">
    <w:name w:val="SubItem Char"/>
    <w:link w:val="SubItem"/>
    <w:rsid w:val="00281812"/>
    <w:rPr>
      <w:rFonts w:ascii="Calibri" w:hAnsi="Calibri" w:cs="Calibri"/>
      <w:sz w:val="24"/>
      <w:szCs w:val="24"/>
    </w:rPr>
  </w:style>
  <w:style w:type="character" w:customStyle="1" w:styleId="Heading3Char">
    <w:name w:val="Heading 3 Char"/>
    <w:link w:val="Heading3"/>
    <w:rsid w:val="00B14BB7"/>
    <w:rPr>
      <w:rFonts w:ascii="Calibri" w:hAnsi="Calibri" w:cs="Calibri"/>
      <w:sz w:val="24"/>
      <w:szCs w:val="24"/>
    </w:rPr>
  </w:style>
  <w:style w:type="paragraph" w:customStyle="1" w:styleId="Heading43">
    <w:name w:val="Heading 43"/>
    <w:basedOn w:val="Heading3"/>
    <w:qFormat/>
    <w:rsid w:val="00B14BB7"/>
    <w:pPr>
      <w:numPr>
        <w:numId w:val="8"/>
      </w:numPr>
      <w:tabs>
        <w:tab w:val="clear" w:pos="792"/>
        <w:tab w:val="left" w:pos="1080"/>
      </w:tabs>
      <w:ind w:left="1080"/>
    </w:pPr>
  </w:style>
  <w:style w:type="character" w:customStyle="1" w:styleId="Heading1Char">
    <w:name w:val="Heading 1 Char"/>
    <w:link w:val="Heading1"/>
    <w:rsid w:val="00B14BB7"/>
    <w:rPr>
      <w:rFonts w:ascii="Cambria" w:eastAsia="Malgun Gothic" w:hAnsi="Cambria" w:cs="Times New Roman"/>
      <w:b/>
      <w:bCs/>
      <w:kern w:val="32"/>
      <w:sz w:val="32"/>
      <w:szCs w:val="32"/>
    </w:rPr>
  </w:style>
  <w:style w:type="character" w:customStyle="1" w:styleId="Heading5Char">
    <w:name w:val="Heading 5 Char"/>
    <w:link w:val="Heading5"/>
    <w:rsid w:val="00B14BB7"/>
    <w:rPr>
      <w:rFonts w:ascii="Calibri" w:hAnsi="Calibri" w:cs="Calibri"/>
      <w:sz w:val="24"/>
      <w:szCs w:val="24"/>
    </w:rPr>
  </w:style>
  <w:style w:type="paragraph" w:customStyle="1" w:styleId="Level1Point">
    <w:name w:val="Level 1 Point"/>
    <w:basedOn w:val="Normal"/>
    <w:link w:val="Level1PointChar"/>
    <w:qFormat/>
    <w:rsid w:val="000F3430"/>
    <w:pPr>
      <w:keepNext/>
      <w:keepLines/>
      <w:pBdr>
        <w:top w:val="dotted" w:sz="4" w:space="1" w:color="auto"/>
      </w:pBdr>
      <w:tabs>
        <w:tab w:val="left" w:leader="dot" w:pos="1440"/>
      </w:tabs>
      <w:overflowPunct/>
      <w:autoSpaceDE/>
      <w:autoSpaceDN/>
      <w:adjustRightInd/>
      <w:spacing w:before="60" w:after="60"/>
      <w:ind w:left="1440" w:hanging="1440"/>
      <w:textAlignment w:val="auto"/>
    </w:pPr>
    <w:rPr>
      <w:rFonts w:ascii="Cambria" w:hAnsi="Cambria" w:cs="Calibri"/>
      <w:color w:val="000000"/>
      <w:lang w:val="en-GB"/>
    </w:rPr>
  </w:style>
  <w:style w:type="paragraph" w:customStyle="1" w:styleId="Level2Point">
    <w:name w:val="Level 2 Point"/>
    <w:basedOn w:val="Normal"/>
    <w:link w:val="Level2PointChar"/>
    <w:qFormat/>
    <w:rsid w:val="000F3430"/>
    <w:pPr>
      <w:tabs>
        <w:tab w:val="left" w:pos="1440"/>
      </w:tabs>
      <w:overflowPunct/>
      <w:autoSpaceDE/>
      <w:autoSpaceDN/>
      <w:adjustRightInd/>
      <w:spacing w:after="60"/>
      <w:ind w:left="1080" w:hanging="360"/>
      <w:textAlignment w:val="auto"/>
    </w:pPr>
    <w:rPr>
      <w:rFonts w:ascii="Calibri" w:hAnsi="Calibri" w:cs="Calibri"/>
      <w:color w:val="000000"/>
      <w:sz w:val="22"/>
      <w:szCs w:val="22"/>
    </w:rPr>
  </w:style>
  <w:style w:type="character" w:customStyle="1" w:styleId="Level1PointChar">
    <w:name w:val="Level 1 Point Char"/>
    <w:link w:val="Level1Point"/>
    <w:rsid w:val="000F3430"/>
    <w:rPr>
      <w:rFonts w:ascii="Cambria" w:hAnsi="Cambria" w:cs="Calibri"/>
      <w:color w:val="000000"/>
      <w:sz w:val="24"/>
      <w:szCs w:val="24"/>
      <w:lang w:val="en-GB"/>
    </w:rPr>
  </w:style>
  <w:style w:type="paragraph" w:customStyle="1" w:styleId="Level3">
    <w:name w:val="Level 3"/>
    <w:basedOn w:val="Normal"/>
    <w:link w:val="Level3Char"/>
    <w:qFormat/>
    <w:rsid w:val="000F3430"/>
    <w:pPr>
      <w:numPr>
        <w:numId w:val="10"/>
      </w:numPr>
      <w:tabs>
        <w:tab w:val="left" w:pos="1080"/>
        <w:tab w:val="left" w:pos="1440"/>
        <w:tab w:val="left" w:pos="1800"/>
      </w:tabs>
      <w:overflowPunct/>
      <w:autoSpaceDE/>
      <w:autoSpaceDN/>
      <w:adjustRightInd/>
      <w:spacing w:after="60"/>
      <w:ind w:left="1440"/>
      <w:textAlignment w:val="auto"/>
    </w:pPr>
    <w:rPr>
      <w:rFonts w:ascii="Calibri" w:hAnsi="Calibri" w:cs="Calibri"/>
      <w:color w:val="000000"/>
      <w:sz w:val="22"/>
      <w:szCs w:val="22"/>
      <w:lang w:val="en-GB"/>
    </w:rPr>
  </w:style>
  <w:style w:type="character" w:customStyle="1" w:styleId="Level2PointChar">
    <w:name w:val="Level 2 Point Char"/>
    <w:link w:val="Level2Point"/>
    <w:rsid w:val="000F3430"/>
    <w:rPr>
      <w:rFonts w:ascii="Calibri" w:hAnsi="Calibri" w:cs="Calibri"/>
      <w:color w:val="000000"/>
      <w:sz w:val="22"/>
      <w:szCs w:val="22"/>
      <w:lang w:val="en-GB"/>
    </w:rPr>
  </w:style>
  <w:style w:type="table" w:styleId="TableGrid">
    <w:name w:val="Table Grid"/>
    <w:basedOn w:val="TableNormal"/>
    <w:rsid w:val="00FC5C9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evel3Char">
    <w:name w:val="Level 3 Char"/>
    <w:link w:val="Level3"/>
    <w:rsid w:val="000F3430"/>
    <w:rPr>
      <w:rFonts w:ascii="Calibri" w:hAnsi="Calibri" w:cs="Calibri"/>
      <w:color w:val="000000"/>
      <w:sz w:val="22"/>
      <w:szCs w:val="2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323F23"/>
    <w:pPr>
      <w:tabs>
        <w:tab w:val="center" w:pos="4680"/>
        <w:tab w:val="right" w:pos="9360"/>
      </w:tabs>
      <w:overflowPunct/>
      <w:autoSpaceDE/>
      <w:autoSpaceDN/>
      <w:adjustRightInd/>
      <w:spacing w:after="200" w:line="276" w:lineRule="auto"/>
      <w:textAlignment w:val="auto"/>
    </w:pPr>
    <w:rPr>
      <w:rFonts w:ascii="Calibri" w:eastAsia="Malgun Gothic" w:hAnsi="Calibri" w:cs="Times New Roman"/>
      <w:sz w:val="22"/>
      <w:szCs w:val="22"/>
    </w:rPr>
  </w:style>
  <w:style w:type="character" w:customStyle="1" w:styleId="HeaderChar">
    <w:name w:val="Header Char"/>
    <w:link w:val="Header"/>
    <w:uiPriority w:val="99"/>
    <w:rsid w:val="00323F23"/>
    <w:rPr>
      <w:rFonts w:ascii="Calibri" w:eastAsia="Malgun Gothic" w:hAnsi="Calibri"/>
      <w:sz w:val="22"/>
      <w:szCs w:val="22"/>
    </w:rPr>
  </w:style>
  <w:style w:type="character" w:styleId="Emphasis">
    <w:name w:val="Emphasis"/>
    <w:uiPriority w:val="20"/>
    <w:qFormat/>
    <w:rsid w:val="00323F2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96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8E164-CC10-4A6F-9055-F578BBC7B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702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Plot Study Guide</vt:lpstr>
    </vt:vector>
  </TitlesOfParts>
  <Company>Hewlett-Packard Company</Company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Plot Study Guide</dc:title>
  <dc:subject>Plot</dc:subject>
  <dc:creator>Skip Nicholson</dc:creator>
  <cp:keywords>AP Plot English Lit Novel</cp:keywords>
  <cp:lastModifiedBy>Skip Nicholson</cp:lastModifiedBy>
  <cp:revision>4</cp:revision>
  <cp:lastPrinted>2016-06-05T03:52:00Z</cp:lastPrinted>
  <dcterms:created xsi:type="dcterms:W3CDTF">2013-06-03T04:54:00Z</dcterms:created>
  <dcterms:modified xsi:type="dcterms:W3CDTF">2016-06-05T03:52:00Z</dcterms:modified>
</cp:coreProperties>
</file>